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ascii="方正小标宋简体" w:hAnsi="??" w:eastAsia="方正小标宋简体" w:cs="宋体"/>
          <w:bCs/>
          <w:sz w:val="44"/>
          <w:szCs w:val="44"/>
          <w:u w:val="single"/>
        </w:rPr>
      </w:pP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完善兆雅至百和公路进港路段标线</w:t>
      </w:r>
    </w:p>
    <w:p>
      <w:pPr>
        <w:pStyle w:val="5"/>
        <w:spacing w:line="360" w:lineRule="auto"/>
        <w:jc w:val="center"/>
        <w:rPr>
          <w:rFonts w:ascii="方正小标宋简体" w:hAnsi="??" w:eastAsia="方正小标宋简体" w:cs="宋体"/>
          <w:bCs/>
          <w:sz w:val="44"/>
          <w:szCs w:val="44"/>
          <w:u w:val="single"/>
        </w:rPr>
      </w:pP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工程竞争性谈判</w:t>
      </w:r>
    </w:p>
    <w:p>
      <w:pPr>
        <w:pStyle w:val="5"/>
        <w:spacing w:line="360" w:lineRule="auto"/>
        <w:jc w:val="both"/>
        <w:rPr>
          <w:rFonts w:cs="Arial"/>
          <w:b/>
          <w:color w:val="000000"/>
          <w:spacing w:val="-20"/>
          <w:sz w:val="44"/>
          <w:szCs w:val="44"/>
          <w:u w:val="single"/>
        </w:rPr>
      </w:pPr>
    </w:p>
    <w:p>
      <w:pPr>
        <w:spacing w:line="360" w:lineRule="auto"/>
        <w:rPr>
          <w:rFonts w:ascii="宋体"/>
          <w:b/>
          <w:sz w:val="84"/>
          <w:szCs w:val="84"/>
        </w:rPr>
      </w:pPr>
    </w:p>
    <w:p>
      <w:pPr>
        <w:spacing w:line="360" w:lineRule="auto"/>
        <w:jc w:val="center"/>
        <w:rPr>
          <w:rFonts w:ascii="宋体"/>
          <w:b/>
          <w:sz w:val="96"/>
          <w:szCs w:val="96"/>
        </w:rPr>
      </w:pPr>
      <w:r>
        <w:rPr>
          <w:rFonts w:hint="eastAsia" w:ascii="宋体" w:hAnsi="宋体"/>
          <w:b/>
          <w:sz w:val="96"/>
          <w:szCs w:val="96"/>
        </w:rPr>
        <w:t>报价文件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pStyle w:val="2"/>
      </w:pPr>
    </w:p>
    <w:p>
      <w:pPr>
        <w:pStyle w:val="2"/>
      </w:pPr>
    </w:p>
    <w:p>
      <w:pPr>
        <w:spacing w:line="360" w:lineRule="auto"/>
        <w:rPr>
          <w:rFonts w:ascii="宋体"/>
          <w:szCs w:val="21"/>
        </w:rPr>
      </w:pPr>
    </w:p>
    <w:p>
      <w:pPr>
        <w:pStyle w:val="3"/>
        <w:tabs>
          <w:tab w:val="left" w:pos="0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  <w:r>
        <w:rPr>
          <w:rFonts w:hint="eastAsia" w:hAnsi="宋体" w:cs="黑体"/>
          <w:b/>
          <w:spacing w:val="-20"/>
          <w:sz w:val="32"/>
          <w:szCs w:val="32"/>
        </w:rPr>
        <w:t>项目业主</w:t>
      </w:r>
      <w:r>
        <w:rPr>
          <w:rFonts w:hint="eastAsia" w:hAnsi="宋体" w:cs="黑体"/>
          <w:b/>
          <w:sz w:val="32"/>
          <w:szCs w:val="32"/>
        </w:rPr>
        <w:t>：</w:t>
      </w:r>
      <w:r>
        <w:rPr>
          <w:rFonts w:hint="eastAsia" w:hAnsi="宋体" w:cs="黑体"/>
          <w:b/>
          <w:spacing w:val="-20"/>
          <w:sz w:val="32"/>
          <w:szCs w:val="32"/>
          <w:u w:val="single"/>
        </w:rPr>
        <w:t xml:space="preserve">           泸县公路管理服务中心      </w:t>
      </w:r>
      <w:r>
        <w:rPr>
          <w:rFonts w:hint="eastAsia" w:hAnsi="宋体" w:cs="黑体"/>
          <w:b/>
          <w:sz w:val="32"/>
          <w:szCs w:val="32"/>
        </w:rPr>
        <w:t>（盖章）</w:t>
      </w: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rFonts w:hAnsi="宋体" w:cs="黑体"/>
          <w:b/>
          <w:sz w:val="32"/>
          <w:szCs w:val="32"/>
        </w:rPr>
      </w:pPr>
      <w:r>
        <w:rPr>
          <w:rFonts w:hint="eastAsia" w:hAnsi="宋体" w:cs="黑体"/>
          <w:b/>
          <w:sz w:val="32"/>
          <w:szCs w:val="32"/>
        </w:rPr>
        <w:t>法定代表人（或授权代理人）：</w:t>
      </w:r>
      <w:r>
        <w:rPr>
          <w:rFonts w:hint="eastAsia" w:hAnsi="宋体" w:cs="黑体"/>
          <w:b/>
          <w:sz w:val="32"/>
          <w:szCs w:val="32"/>
          <w:u w:val="single"/>
        </w:rPr>
        <w:t xml:space="preserve">           </w:t>
      </w:r>
      <w:r>
        <w:rPr>
          <w:rFonts w:hint="eastAsia" w:hAnsi="宋体" w:cs="黑体"/>
          <w:b/>
          <w:sz w:val="32"/>
          <w:szCs w:val="32"/>
        </w:rPr>
        <w:t>（盖章或签字）</w:t>
      </w: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jc w:val="center"/>
        <w:rPr>
          <w:b/>
          <w:sz w:val="24"/>
          <w:szCs w:val="24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rPr>
          <w:b/>
          <w:sz w:val="24"/>
          <w:szCs w:val="24"/>
        </w:rPr>
      </w:pPr>
    </w:p>
    <w:p>
      <w:pPr>
        <w:pStyle w:val="3"/>
        <w:tabs>
          <w:tab w:val="left" w:pos="135"/>
          <w:tab w:val="center" w:pos="4524"/>
        </w:tabs>
        <w:kinsoku w:val="0"/>
        <w:overflowPunct w:val="0"/>
        <w:spacing w:after="130" w:line="360" w:lineRule="auto"/>
        <w:jc w:val="center"/>
        <w:rPr>
          <w:b/>
          <w:bCs/>
          <w:sz w:val="44"/>
          <w:szCs w:val="44"/>
          <w:u w:val="single"/>
        </w:rPr>
      </w:pPr>
      <w:r>
        <w:rPr>
          <w:rFonts w:hint="eastAsia"/>
          <w:b/>
          <w:sz w:val="32"/>
          <w:szCs w:val="32"/>
        </w:rPr>
        <w:t>2022年11月1日</w:t>
      </w:r>
    </w:p>
    <w:p>
      <w:pPr>
        <w:pStyle w:val="5"/>
        <w:spacing w:line="360" w:lineRule="auto"/>
        <w:jc w:val="center"/>
        <w:rPr>
          <w:rFonts w:ascii="方正小标宋简体" w:hAnsi="??" w:eastAsia="方正小标宋简体" w:cs="宋体"/>
          <w:bCs/>
          <w:sz w:val="44"/>
          <w:szCs w:val="44"/>
          <w:u w:val="single"/>
        </w:rPr>
      </w:pP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完善兆雅至百和公路进港路段标线</w:t>
      </w:r>
    </w:p>
    <w:p>
      <w:pPr>
        <w:pStyle w:val="5"/>
        <w:spacing w:line="360" w:lineRule="auto"/>
        <w:jc w:val="center"/>
        <w:rPr>
          <w:rFonts w:ascii="方正小标宋简体" w:hAnsi="??" w:eastAsia="方正小标宋简体" w:cs="宋体"/>
          <w:bCs/>
          <w:sz w:val="44"/>
          <w:szCs w:val="44"/>
          <w:u w:val="single"/>
        </w:rPr>
      </w:pPr>
      <w:r>
        <w:rPr>
          <w:rFonts w:hint="eastAsia" w:ascii="方正小标宋简体" w:hAnsi="??" w:eastAsia="方正小标宋简体" w:cs="宋体"/>
          <w:bCs/>
          <w:sz w:val="44"/>
          <w:szCs w:val="44"/>
          <w:u w:val="single"/>
        </w:rPr>
        <w:t>工程竞争性谈判公告</w:t>
      </w:r>
    </w:p>
    <w:p>
      <w:pPr>
        <w:widowControl/>
        <w:shd w:val="clear" w:color="auto" w:fill="FFFFFF"/>
        <w:spacing w:line="540" w:lineRule="atLeast"/>
        <w:ind w:firstLine="660"/>
        <w:jc w:val="center"/>
        <w:rPr>
          <w:rFonts w:ascii="宋体" w:cs="宋体"/>
          <w:b/>
          <w:bCs/>
          <w:kern w:val="0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工程概况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960" w:firstLineChars="3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X055</w:t>
      </w:r>
      <w:r>
        <w:rPr>
          <w:rFonts w:hint="eastAsia" w:ascii="仿宋_GB2312" w:hAnsi="方正仿宋简体" w:eastAsia="仿宋_GB2312"/>
          <w:sz w:val="32"/>
          <w:szCs w:val="32"/>
        </w:rPr>
        <w:t>兆雅至百和公路进港路段（</w:t>
      </w:r>
      <w:r>
        <w:rPr>
          <w:rFonts w:ascii="Times New Roman" w:hAnsi="Times New Roman" w:eastAsia="仿宋_GB2312"/>
          <w:sz w:val="32"/>
          <w:szCs w:val="32"/>
        </w:rPr>
        <w:t>K0-K7.2</w:t>
      </w:r>
      <w:r>
        <w:rPr>
          <w:rFonts w:hint="eastAsia" w:ascii="仿宋_GB2312" w:hAnsi="方正仿宋简体" w:eastAsia="仿宋_GB2312"/>
          <w:sz w:val="32"/>
          <w:szCs w:val="32"/>
        </w:rPr>
        <w:t>）交通量大，长陡坡路段多，目前该路段路面车道分界线、车道边缘线、横向减速标线等存在严重脱落情况，需及时完善。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960" w:firstLineChars="3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二、采购项目概况</w:t>
      </w:r>
    </w:p>
    <w:tbl>
      <w:tblPr>
        <w:tblStyle w:val="6"/>
        <w:tblW w:w="8348" w:type="dxa"/>
        <w:tblInd w:w="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1"/>
        <w:gridCol w:w="503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项目业主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泸县公路管理服务中心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spacing w:val="-20"/>
                <w:kern w:val="0"/>
                <w:sz w:val="28"/>
                <w:szCs w:val="28"/>
              </w:rPr>
              <w:t>完善兆雅至百和公路进港路段标线工程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建设地点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兆雅镇、太伏镇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工期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招标内容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完善标线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竞价方式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 xml:space="preserve">本采购通过限额以内最低价方式确定中选人，诚邀符合资格条件的企业参与本项目的竞价。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投标限价</w:t>
            </w:r>
          </w:p>
        </w:tc>
        <w:tc>
          <w:tcPr>
            <w:tcW w:w="5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??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kern w:val="0"/>
                <w:sz w:val="32"/>
                <w:szCs w:val="32"/>
              </w:rPr>
              <w:t>15.05万元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三、竞价要求 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（1）竞价单位应具有公路工程施工总承包三级及以上资质。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（2）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报价文件应明确分项工程单价及工程总价款金额，并密封后自行带至现场，报价文件未密封或报价高于最高限价的无效。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（3）本次报价单位应不低于3家，若低于3家本次不予开标，后期重新组织报价，开启时间另行通知。</w:t>
      </w:r>
    </w:p>
    <w:p>
      <w:pPr>
        <w:pStyle w:val="2"/>
        <w:ind w:firstLine="320" w:firstLineChars="100"/>
        <w:rPr>
          <w:rFonts w:eastAsia="仿宋_GB231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（4）若两个及以上报价单位所报价格相等且为本次最低报价，则现场进行二次报价，以现场二次报价最低者中选。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四、竞价提供资料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（1）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企业法人营业执照复印件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（2）资质证明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（3）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法定代表人身份证明或授权委托书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（4）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法定代表人或委托人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有效身份证原件（备查）及复印件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五、公告期限</w:t>
      </w:r>
    </w:p>
    <w:p>
      <w:pPr>
        <w:widowControl/>
        <w:shd w:val="clear" w:color="auto" w:fill="FFFFFF"/>
        <w:spacing w:line="560" w:lineRule="exact"/>
        <w:ind w:right="-328" w:rightChars="-156" w:firstLine="320" w:firstLineChars="100"/>
        <w:jc w:val="left"/>
        <w:rPr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自本公告发布之日起，至报价开启时止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六、开标</w:t>
      </w:r>
    </w:p>
    <w:p>
      <w:pPr>
        <w:widowControl/>
        <w:shd w:val="clear" w:color="auto" w:fill="FFFFFF"/>
        <w:spacing w:line="560" w:lineRule="exact"/>
        <w:ind w:right="-328" w:rightChars="-156" w:firstLine="320" w:firstLineChars="1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时间：2022年11月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日上午09:00</w:t>
      </w:r>
    </w:p>
    <w:p>
      <w:pPr>
        <w:widowControl/>
        <w:shd w:val="clear" w:color="auto" w:fill="FFFFFF"/>
        <w:spacing w:line="560" w:lineRule="exact"/>
        <w:ind w:right="-328" w:rightChars="-156" w:firstLine="320" w:firstLineChars="1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地址：泸县公路管理服务中心会议室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left="61" w:leftChars="29" w:right="-328" w:rightChars="-156" w:firstLine="320" w:firstLineChars="1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七、其他补充事宜</w:t>
      </w:r>
    </w:p>
    <w:p>
      <w:pPr>
        <w:widowControl/>
        <w:shd w:val="clear" w:color="auto" w:fill="FFFFFF"/>
        <w:spacing w:line="560" w:lineRule="exact"/>
        <w:ind w:right="-328" w:rightChars="-156" w:firstLine="320" w:firstLineChars="1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（1）请各报价单位提前到场等候，开标后将不再接受报价。</w:t>
      </w:r>
    </w:p>
    <w:p>
      <w:pPr>
        <w:widowControl/>
        <w:shd w:val="clear" w:color="auto" w:fill="FFFFFF"/>
        <w:spacing w:line="560" w:lineRule="exact"/>
        <w:ind w:right="-328" w:rightChars="-156" w:firstLine="320" w:firstLineChars="10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（2）本次竞争性报价将邀请局纪检组等相关股室全程参与，请各报价单位严格遵守廉政纪律和会场纪律，严禁围标、串标。</w:t>
      </w:r>
    </w:p>
    <w:p>
      <w:pPr>
        <w:pStyle w:val="2"/>
        <w:ind w:firstLine="320" w:firstLineChars="1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（3）鉴于目前国内新冠疫情形势，所有参与竞标人员均需出示绿码，做好疫情防控措施。</w:t>
      </w:r>
    </w:p>
    <w:p>
      <w:pPr>
        <w:pStyle w:val="2"/>
        <w:ind w:firstLine="320" w:firstLineChars="1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（4）资金支付方式：工程完工验收合格后一次性支付。</w:t>
      </w:r>
    </w:p>
    <w:p>
      <w:pPr>
        <w:pStyle w:val="2"/>
        <w:ind w:firstLine="320" w:firstLineChars="1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（5）本项目为单价合同，最终结算工程量以实际完成工程量为准，结算价不能超过投标总价。</w:t>
      </w:r>
    </w:p>
    <w:p>
      <w:pPr>
        <w:pStyle w:val="2"/>
        <w:spacing w:line="560" w:lineRule="exact"/>
        <w:ind w:firstLine="320" w:firstLineChars="100"/>
        <w:rPr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（6）未尽事宜严格按照相关法律法规及部门规章制度执行。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left="-359" w:leftChars="-171" w:right="-328" w:rightChars="-156"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联系方式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业主单位：  泸县公路管理服务中心 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地　　址：  泸县玉蟾街道西苑路86号 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邮　　编：  646106  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联 系 人：  彭先生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660"/>
        <w:jc w:val="left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联系电话：  18982455052</w:t>
      </w:r>
    </w:p>
    <w:p>
      <w:pPr>
        <w:widowControl/>
        <w:shd w:val="clear" w:color="auto" w:fill="FFFFFF"/>
        <w:spacing w:line="560" w:lineRule="exact"/>
        <w:ind w:left="-359" w:leftChars="-171" w:right="-328" w:rightChars="-156" w:firstLine="1447" w:firstLineChars="517"/>
        <w:jc w:val="left"/>
        <w:rPr>
          <w:rFonts w:ascii="仿宋_GB2312" w:hAnsi="??" w:eastAsia="仿宋_GB2312" w:cs="宋体"/>
          <w:kern w:val="0"/>
          <w:sz w:val="28"/>
          <w:szCs w:val="28"/>
        </w:rPr>
      </w:pPr>
    </w:p>
    <w:p>
      <w:pPr>
        <w:pStyle w:val="2"/>
      </w:pPr>
    </w:p>
    <w:p>
      <w:pPr>
        <w:widowControl/>
        <w:shd w:val="clear" w:color="auto" w:fill="FFFFFF"/>
        <w:spacing w:line="560" w:lineRule="exact"/>
        <w:ind w:left="3360" w:leftChars="1600" w:right="-328" w:rightChars="-156" w:firstLine="1600" w:firstLineChars="5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泸县公路管理服务中心</w:t>
      </w:r>
    </w:p>
    <w:p>
      <w:pPr>
        <w:widowControl/>
        <w:shd w:val="clear" w:color="auto" w:fill="FFFFFF"/>
        <w:spacing w:line="560" w:lineRule="exact"/>
        <w:ind w:left="3360" w:leftChars="1600" w:right="-328" w:rightChars="-156" w:firstLine="2240" w:firstLineChars="7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 xml:space="preserve">2022年11月1日 </w:t>
      </w:r>
    </w:p>
    <w:p>
      <w:pPr>
        <w:pStyle w:val="2"/>
        <w:rPr>
          <w:rFonts w:ascii="仿宋_GB2312" w:hAnsi="??" w:eastAsia="仿宋_GB2312" w:cs="宋体"/>
          <w:kern w:val="0"/>
          <w:sz w:val="32"/>
          <w:szCs w:val="32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rPr>
          <w:rFonts w:ascii="仿宋_GB2312" w:hAnsi="??" w:eastAsia="仿宋_GB2312" w:cs="宋体"/>
          <w:bCs/>
          <w:kern w:val="0"/>
          <w:sz w:val="28"/>
          <w:szCs w:val="28"/>
        </w:rPr>
      </w:pPr>
    </w:p>
    <w:p>
      <w:pPr>
        <w:pStyle w:val="2"/>
        <w:rPr>
          <w:rFonts w:hint="eastAsia" w:ascii="仿宋_GB2312" w:hAnsi="??" w:eastAsia="仿宋_GB2312" w:cs="宋体"/>
          <w:bCs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8" w:lineRule="exact"/>
        <w:jc w:val="left"/>
        <w:rPr>
          <w:rFonts w:ascii="仿宋_GB2312" w:hAnsi="方正仿宋简体" w:eastAsia="仿宋_GB2312"/>
          <w:sz w:val="32"/>
          <w:szCs w:val="32"/>
        </w:rPr>
      </w:pPr>
      <w:r>
        <w:rPr>
          <w:rFonts w:hint="eastAsia" w:ascii="仿宋_GB2312" w:hAnsi="方正仿宋简体" w:eastAsia="仿宋_GB2312"/>
          <w:sz w:val="32"/>
          <w:szCs w:val="32"/>
        </w:rPr>
        <w:t>附表：</w:t>
      </w:r>
    </w:p>
    <w:p>
      <w:pPr>
        <w:spacing w:line="578" w:lineRule="exact"/>
        <w:jc w:val="center"/>
        <w:rPr>
          <w:rFonts w:ascii="仿宋_GB2312" w:hAnsi="方正仿宋简体" w:eastAsia="仿宋_GB2312"/>
          <w:b/>
          <w:sz w:val="40"/>
          <w:szCs w:val="32"/>
        </w:rPr>
      </w:pPr>
      <w:r>
        <w:rPr>
          <w:rFonts w:hint="eastAsia" w:ascii="仿宋_GB2312" w:hAnsi="方正仿宋简体" w:eastAsia="仿宋_GB2312"/>
          <w:b/>
          <w:sz w:val="40"/>
          <w:szCs w:val="32"/>
        </w:rPr>
        <w:t>完善兆雅至百和公路进港路段标线预算表</w:t>
      </w:r>
    </w:p>
    <w:p>
      <w:pPr>
        <w:spacing w:line="578" w:lineRule="exact"/>
        <w:jc w:val="left"/>
        <w:rPr>
          <w:rFonts w:ascii="仿宋_GB2312" w:hAnsi="方正仿宋简体" w:eastAsia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9"/>
        <w:gridCol w:w="2259"/>
        <w:gridCol w:w="2259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单价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金额</w:t>
            </w:r>
          </w:p>
        </w:tc>
        <w:tc>
          <w:tcPr>
            <w:tcW w:w="494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标志线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方正仿宋简体" w:eastAsia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元/</w:t>
            </w:r>
            <w:r>
              <w:rPr>
                <w:rFonts w:hint="eastAsia" w:ascii="Segoe UI Symbol" w:hAnsi="Segoe UI Symbol" w:eastAsia="仿宋_GB2312" w:cs="Segoe UI Symbol"/>
                <w:kern w:val="0"/>
                <w:sz w:val="32"/>
                <w:szCs w:val="32"/>
              </w:rPr>
              <w:t>㎡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方正仿宋简体" w:eastAsia="仿宋_GB2312"/>
                <w:kern w:val="0"/>
                <w:sz w:val="32"/>
                <w:szCs w:val="32"/>
              </w:rPr>
              <w:t>700</w:t>
            </w:r>
            <w:r>
              <w:rPr>
                <w:rFonts w:hint="eastAsia" w:ascii="Segoe UI Symbol" w:hAnsi="Segoe UI Symbol" w:eastAsia="仿宋_GB2312" w:cs="Segoe UI Symbol"/>
                <w:kern w:val="0"/>
                <w:sz w:val="32"/>
                <w:szCs w:val="32"/>
              </w:rPr>
              <w:t>㎡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9</w:t>
            </w:r>
            <w:r>
              <w:rPr>
                <w:rFonts w:ascii="仿宋_GB2312" w:hAnsi="方正仿宋简体" w:eastAsia="仿宋_GB2312"/>
                <w:kern w:val="0"/>
                <w:sz w:val="32"/>
                <w:szCs w:val="32"/>
              </w:rPr>
              <w:t>4500</w:t>
            </w:r>
          </w:p>
        </w:tc>
        <w:tc>
          <w:tcPr>
            <w:tcW w:w="4949" w:type="dxa"/>
            <w:vMerge w:val="restart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施画标线必须符合GB 5768.3-2009要求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震荡线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7</w:t>
            </w:r>
            <w:r>
              <w:rPr>
                <w:rFonts w:ascii="仿宋_GB2312" w:hAnsi="方正仿宋简体" w:eastAsia="仿宋_GB2312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元/</w:t>
            </w:r>
            <w:r>
              <w:rPr>
                <w:rFonts w:hint="eastAsia" w:ascii="Segoe UI Symbol" w:hAnsi="Segoe UI Symbol" w:eastAsia="仿宋_GB2312" w:cs="Segoe UI Symbol"/>
                <w:kern w:val="0"/>
                <w:sz w:val="32"/>
                <w:szCs w:val="32"/>
              </w:rPr>
              <w:t>㎡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8</w:t>
            </w:r>
            <w:r>
              <w:rPr>
                <w:rFonts w:ascii="仿宋_GB2312" w:hAnsi="方正仿宋简体" w:eastAsia="仿宋_GB2312"/>
                <w:kern w:val="0"/>
                <w:sz w:val="32"/>
                <w:szCs w:val="32"/>
              </w:rPr>
              <w:t>00</w:t>
            </w:r>
            <w:r>
              <w:rPr>
                <w:rFonts w:hint="eastAsia" w:ascii="Segoe UI Symbol" w:hAnsi="Segoe UI Symbol" w:eastAsia="仿宋_GB2312" w:cs="Segoe UI Symbol"/>
                <w:kern w:val="0"/>
                <w:sz w:val="32"/>
                <w:szCs w:val="32"/>
              </w:rPr>
              <w:t>㎡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方正仿宋简体" w:eastAsia="仿宋_GB2312"/>
                <w:kern w:val="0"/>
                <w:sz w:val="32"/>
                <w:szCs w:val="32"/>
              </w:rPr>
              <w:t>6000</w:t>
            </w:r>
          </w:p>
        </w:tc>
        <w:tc>
          <w:tcPr>
            <w:tcW w:w="4949" w:type="dxa"/>
            <w:vMerge w:val="continue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7" w:type="dxa"/>
            <w:gridSpan w:val="3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2259" w:type="dxa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方正仿宋简体" w:eastAsia="仿宋_GB2312"/>
                <w:kern w:val="0"/>
                <w:sz w:val="32"/>
                <w:szCs w:val="32"/>
              </w:rPr>
              <w:t>50500</w:t>
            </w:r>
          </w:p>
        </w:tc>
        <w:tc>
          <w:tcPr>
            <w:tcW w:w="4949" w:type="dxa"/>
            <w:vMerge w:val="continue"/>
          </w:tcPr>
          <w:p>
            <w:pPr>
              <w:spacing w:line="578" w:lineRule="exact"/>
              <w:jc w:val="center"/>
              <w:rPr>
                <w:rFonts w:ascii="仿宋_GB2312" w:hAnsi="方正仿宋简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2312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72255"/>
    <w:multiLevelType w:val="singleLevel"/>
    <w:tmpl w:val="82A72255"/>
    <w:lvl w:ilvl="0" w:tentative="0">
      <w:start w:val="8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E9A38B80"/>
    <w:multiLevelType w:val="singleLevel"/>
    <w:tmpl w:val="E9A38B8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4NjI1NTQ3N2IyNjIzMzljMDY5MjU1YzY5ZjBlMmMifQ=="/>
  </w:docVars>
  <w:rsids>
    <w:rsidRoot w:val="00172A27"/>
    <w:rsid w:val="00172A27"/>
    <w:rsid w:val="00276AD0"/>
    <w:rsid w:val="00345C0B"/>
    <w:rsid w:val="00541307"/>
    <w:rsid w:val="008043A9"/>
    <w:rsid w:val="00860F95"/>
    <w:rsid w:val="121C7E75"/>
    <w:rsid w:val="62E877FA"/>
    <w:rsid w:val="734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pPr>
      <w:spacing w:after="120"/>
    </w:pPr>
  </w:style>
  <w:style w:type="paragraph" w:styleId="3">
    <w:name w:val="Plain Text"/>
    <w:basedOn w:val="1"/>
    <w:link w:val="10"/>
    <w:semiHidden/>
    <w:unhideWhenUsed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link w:val="2"/>
    <w:semiHidden/>
    <w:qFormat/>
    <w:uiPriority w:val="0"/>
    <w:rPr>
      <w:rFonts w:ascii="Calibri" w:hAnsi="Calibri" w:eastAsia="宋体" w:cs="Times New Roman"/>
    </w:rPr>
  </w:style>
  <w:style w:type="character" w:customStyle="1" w:styleId="10">
    <w:name w:val="纯文本 字符"/>
    <w:basedOn w:val="8"/>
    <w:link w:val="3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71"/>
    <w:basedOn w:val="8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3">
    <w:name w:val="批注框文本 字符"/>
    <w:basedOn w:val="8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957</Words>
  <Characters>1034</Characters>
  <Lines>8</Lines>
  <Paragraphs>2</Paragraphs>
  <TotalTime>12</TotalTime>
  <ScaleCrop>false</ScaleCrop>
  <LinksUpToDate>false</LinksUpToDate>
  <CharactersWithSpaces>1088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2022-08-08T01:16:00Z</dcterms:created>
  <dc:creator>彭忠涛</dc:creator>
  <cp:lastModifiedBy>稔</cp:lastModifiedBy>
  <cp:lastPrinted>2022-11-01T04:43:00Z</cp:lastPrinted>
  <dcterms:modified xsi:type="dcterms:W3CDTF">2022-11-08T08:12:13Z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E818FC56862D4CF9A3546D63C503C9D3</vt:lpwstr>
  </property>
</Properties>
</file>